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FEB" w14:textId="77777777" w:rsidR="00DF71C8" w:rsidRPr="00ED0A74" w:rsidRDefault="00DF71C8" w:rsidP="00DF71C8">
      <w:pPr>
        <w:pStyle w:val="Intestazione"/>
        <w:rPr>
          <w:rFonts w:ascii="Century Gothic" w:hAnsi="Century Gothic"/>
          <w:iCs/>
          <w:color w:val="595959"/>
          <w:sz w:val="40"/>
          <w:szCs w:val="40"/>
        </w:rPr>
      </w:pPr>
      <w:r w:rsidRPr="00ED0A74">
        <w:rPr>
          <w:rFonts w:ascii="Century Gothic" w:hAnsi="Century Gothic"/>
          <w:iCs/>
          <w:color w:val="595959"/>
          <w:sz w:val="40"/>
          <w:szCs w:val="40"/>
        </w:rPr>
        <w:t xml:space="preserve">VOCI DI CAPITOLATO   </w:t>
      </w:r>
      <w:r w:rsidR="00ED0A74" w:rsidRPr="00ED0A74">
        <w:rPr>
          <w:rFonts w:ascii="Gilroy Black" w:hAnsi="Gilroy Black"/>
          <w:b/>
          <w:noProof/>
          <w:color w:val="595959"/>
          <w:sz w:val="32"/>
          <w:szCs w:val="32"/>
        </w:rPr>
        <w:drawing>
          <wp:inline distT="0" distB="0" distL="0" distR="0" wp14:anchorId="0373E488" wp14:editId="1012D7F4">
            <wp:extent cx="337185" cy="172085"/>
            <wp:effectExtent l="0" t="0" r="0" b="0"/>
            <wp:docPr id="10" name="Immagine 2098001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9800124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8AFF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3BA01D32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088CE8B9" w14:textId="77777777" w:rsidR="00DF71C8" w:rsidRPr="00C67F4E" w:rsidRDefault="00DF71C8" w:rsidP="00DF71C8">
      <w:pPr>
        <w:rPr>
          <w:rFonts w:ascii="Century Gothic" w:hAnsi="Century Gothic"/>
        </w:rPr>
      </w:pPr>
    </w:p>
    <w:p w14:paraId="20C8C7B7" w14:textId="09A13D64" w:rsidR="00DF71C8" w:rsidRPr="002146D0" w:rsidRDefault="00DF71C8" w:rsidP="00DF71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/>
          <w:sz w:val="26"/>
          <w:szCs w:val="26"/>
        </w:rPr>
      </w:pPr>
      <w:r w:rsidRPr="00ED0A74">
        <w:rPr>
          <w:rFonts w:ascii="Century Gothic" w:hAnsi="Century Gothic" w:cs="AppleSystemUIFont"/>
          <w:b/>
          <w:bCs/>
          <w:color w:val="595959"/>
          <w:sz w:val="26"/>
          <w:szCs w:val="26"/>
        </w:rPr>
        <w:t xml:space="preserve"> </w:t>
      </w:r>
      <w:r w:rsidR="00025617"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 xml:space="preserve">Valvola </w:t>
      </w:r>
      <w:proofErr w:type="spellStart"/>
      <w:r w:rsidR="00025617"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>antiriflusso</w:t>
      </w:r>
      <w:proofErr w:type="spellEnd"/>
      <w:r w:rsidR="00025617"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 xml:space="preserve"> in PVC modello C</w:t>
      </w:r>
      <w:r w:rsid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>lassica</w:t>
      </w:r>
    </w:p>
    <w:p w14:paraId="51A28E66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p w14:paraId="643DAD81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F71C8" w:rsidRPr="00ED0A74" w14:paraId="2F2FCEF9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E86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</w:rPr>
            </w:pPr>
            <w:r w:rsidRPr="00ED0A74">
              <w:rPr>
                <w:rFonts w:ascii="Century Gothic" w:hAnsi="Century Gothic"/>
              </w:rPr>
              <w:br w:type="page"/>
            </w:r>
            <w:r w:rsidRPr="00ED0A74">
              <w:rPr>
                <w:rFonts w:ascii="Century Gothic" w:hAnsi="Century Gothic"/>
                <w:b/>
              </w:rPr>
              <w:br w:type="page"/>
            </w:r>
          </w:p>
          <w:p w14:paraId="5390BE49" w14:textId="44433D06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Fornitura di valvola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antiriflusso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di Tipo 1 dotata di dispositivo di chiusura automatico e leva di blocco in posizione di chiuso, realizzata per stampaggio ad iniezione PVC non plastificato.</w:t>
            </w:r>
          </w:p>
          <w:p w14:paraId="72E0D8AC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  <w:p w14:paraId="36E53CBD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Dimensioni degli innesti conformi alla EN1401 e EN1329;</w:t>
            </w:r>
          </w:p>
          <w:p w14:paraId="1357FB0D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sistema di giunzione può essere di tipo ad incollaggio o a bicchiere con guarnizione di tenuta a labbro.</w:t>
            </w:r>
          </w:p>
          <w:p w14:paraId="3146D3C7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dispositivo è completamente ispezionabile, dotato di coperchio amovibile a tenuta idraulica, il piattello di tenuta è asportabile.</w:t>
            </w:r>
          </w:p>
          <w:p w14:paraId="053739A9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Le guarnizioni a labbro amovibili sono costruite e certificate conformemente alle norme EN681-1 e DIN 4060.</w:t>
            </w:r>
          </w:p>
          <w:p w14:paraId="32ABBCFF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dispositivo è dotato di marcatura CE.</w:t>
            </w:r>
          </w:p>
          <w:p w14:paraId="017E49BF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La valvola è certificata dall’istituto LGA in conformità conforme alla normativa EN13564-1 (fino Ø200), istituto internazionale specializzato nella certificazione di dispositivi antiallagamento.</w:t>
            </w:r>
          </w:p>
          <w:p w14:paraId="64DFE652" w14:textId="77777777" w:rsidR="00025617" w:rsidRPr="00025617" w:rsidRDefault="00025617" w:rsidP="00025617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  <w:p w14:paraId="68E2E6C2" w14:textId="0C9E4FE9" w:rsidR="00DF71C8" w:rsidRPr="002146D0" w:rsidRDefault="00025617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fabbricante dovrà, pena la non accettazione del materiale, essere certificato secondo lo standard UNI EN ISO 9001.</w:t>
            </w:r>
          </w:p>
          <w:p w14:paraId="63BB9AD5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</w:tr>
    </w:tbl>
    <w:p w14:paraId="5F0CAEC4" w14:textId="77777777" w:rsidR="002146D0" w:rsidRDefault="002146D0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</w:rPr>
        <w:sectPr w:rsidR="002146D0" w:rsidSect="00073DAC">
          <w:headerReference w:type="default" r:id="rId9"/>
          <w:footerReference w:type="default" r:id="rId10"/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3369C792" w14:textId="04997F61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ED0A74">
        <w:rPr>
          <w:rFonts w:ascii="Century Gothic" w:hAnsi="Century Gothic"/>
          <w:iCs/>
          <w:color w:val="404040"/>
          <w:sz w:val="40"/>
          <w:szCs w:val="40"/>
          <w:lang w:val="en-US"/>
        </w:rPr>
        <w:lastRenderedPageBreak/>
        <w:t xml:space="preserve">TENDER SPECIFICATIONS   </w:t>
      </w:r>
      <w:r w:rsidR="00ED0A74" w:rsidRPr="00ED0A74">
        <w:rPr>
          <w:rFonts w:ascii="Gilroy Black" w:hAnsi="Gilroy Black"/>
          <w:b/>
          <w:noProof/>
          <w:color w:val="00B0F0"/>
          <w:sz w:val="32"/>
          <w:szCs w:val="32"/>
        </w:rPr>
        <w:drawing>
          <wp:inline distT="0" distB="0" distL="0" distR="0" wp14:anchorId="3DF35500" wp14:editId="3B10C508">
            <wp:extent cx="299720" cy="194945"/>
            <wp:effectExtent l="0" t="0" r="0" b="0"/>
            <wp:docPr id="9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972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EDE6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09C883CC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6C74EAAB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5C5B9FD9" w14:textId="115DC94A" w:rsidR="00073DAC" w:rsidRPr="00ED0A74" w:rsidRDefault="00073DAC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color w:val="3B3838"/>
          <w:lang w:val="en-US"/>
        </w:rPr>
      </w:pPr>
      <w:r w:rsidRPr="00ED0A74">
        <w:rPr>
          <w:rFonts w:ascii="Century Gothic" w:hAnsi="Century Gothic" w:cs="AppleSystemUIFont"/>
          <w:b/>
          <w:bCs/>
          <w:color w:val="3B3838"/>
          <w:sz w:val="26"/>
          <w:szCs w:val="26"/>
          <w:lang w:val="en-US"/>
        </w:rPr>
        <w:t xml:space="preserve"> </w:t>
      </w:r>
      <w:r w:rsidR="00025617" w:rsidRPr="00025617">
        <w:rPr>
          <w:rFonts w:ascii="Century Gothic" w:hAnsi="Century Gothic" w:cs="AppleSystemUIFont"/>
          <w:b/>
          <w:bCs/>
          <w:iCs/>
          <w:color w:val="595959" w:themeColor="text1" w:themeTint="A6"/>
          <w:sz w:val="26"/>
          <w:szCs w:val="26"/>
          <w:lang w:val="en-US"/>
        </w:rPr>
        <w:t>Non-Return Valves CLASSIC m</w:t>
      </w:r>
      <w:r w:rsidR="00025617">
        <w:rPr>
          <w:rFonts w:ascii="Century Gothic" w:hAnsi="Century Gothic" w:cs="AppleSystemUIFont"/>
          <w:b/>
          <w:bCs/>
          <w:iCs/>
          <w:color w:val="595959" w:themeColor="text1" w:themeTint="A6"/>
          <w:sz w:val="26"/>
          <w:szCs w:val="26"/>
          <w:lang w:val="en-US"/>
        </w:rPr>
        <w:t>odel</w:t>
      </w:r>
    </w:p>
    <w:p w14:paraId="4210403E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p w14:paraId="047D6065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025617" w14:paraId="4DC8B121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C4F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lang w:val="en-US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</w:p>
          <w:p w14:paraId="5967904A" w14:textId="669E7C44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Injected molded non-return valves made of PVC-U designed for connections to piping systems conform to EN1329 and EN1401.</w:t>
            </w:r>
          </w:p>
          <w:p w14:paraId="751739E7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171536A6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One-flap device with locking lever certified EN13564 Type 1.</w:t>
            </w:r>
          </w:p>
          <w:p w14:paraId="23DE4F28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SCJ or RRJ jointing type (Sealing lip-rings conform to EN681-1 and DIN 4060)</w:t>
            </w:r>
          </w:p>
          <w:p w14:paraId="228F64A2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Moving parts shall be detachable or capable of being dismantled on site.</w:t>
            </w:r>
          </w:p>
          <w:p w14:paraId="7214700B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Airtight and watertight sealed cover.</w:t>
            </w:r>
          </w:p>
          <w:p w14:paraId="151B43FE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CE marking.</w:t>
            </w:r>
          </w:p>
          <w:p w14:paraId="520C33A0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German certification LGA EN13564-1 (Ø100 up to Ø200)</w:t>
            </w:r>
          </w:p>
          <w:p w14:paraId="39255E7D" w14:textId="77777777" w:rsidR="00025617" w:rsidRPr="00025617" w:rsidRDefault="00025617" w:rsidP="00025617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230A1E71" w14:textId="5F73640E" w:rsidR="002146D0" w:rsidRPr="00025617" w:rsidRDefault="00025617" w:rsidP="00025617">
            <w:pPr>
              <w:pStyle w:val="Paragrafobase"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Suppliers will attest that they have </w:t>
            </w:r>
            <w:proofErr w:type="gramStart"/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>an</w:t>
            </w:r>
            <w:proofErr w:type="gramEnd"/>
            <w:r w:rsidRPr="00025617">
              <w:rPr>
                <w:rFonts w:ascii="Century Gothic" w:hAnsi="Century Gothic" w:cs="Helvetica"/>
                <w:iCs/>
                <w:color w:val="595959" w:themeColor="text1" w:themeTint="A6"/>
                <w:sz w:val="26"/>
                <w:szCs w:val="26"/>
                <w:lang w:val="en-US"/>
              </w:rPr>
              <w:t xml:space="preserve"> UNI EN ISO 9001 approved quality system in place as a condition for purchase.</w:t>
            </w:r>
          </w:p>
          <w:p w14:paraId="153FDB31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  <w:lang w:val="en-US"/>
              </w:rPr>
            </w:pPr>
          </w:p>
        </w:tc>
      </w:tr>
    </w:tbl>
    <w:p w14:paraId="2C4A50D7" w14:textId="77777777" w:rsidR="002146D0" w:rsidRDefault="002146D0" w:rsidP="00073DAC">
      <w:pPr>
        <w:spacing w:line="360" w:lineRule="auto"/>
        <w:rPr>
          <w:rFonts w:ascii="Century Gothic" w:hAnsi="Century Gothic"/>
          <w:lang w:val="en-US"/>
        </w:rPr>
        <w:sectPr w:rsidR="002146D0" w:rsidSect="00073DAC"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4AA01661" w14:textId="3A0C119C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2146D0">
        <w:rPr>
          <w:rFonts w:ascii="Century Gothic" w:hAnsi="Century Gothic"/>
          <w:iCs/>
          <w:color w:val="595959" w:themeColor="text1" w:themeTint="A6"/>
          <w:sz w:val="40"/>
          <w:szCs w:val="40"/>
          <w:lang w:val="en-US"/>
        </w:rPr>
        <w:lastRenderedPageBreak/>
        <w:t xml:space="preserve">CAHIER DE CHARGES   </w:t>
      </w:r>
      <w:r w:rsidR="00ED0A74" w:rsidRPr="00ED0A74">
        <w:rPr>
          <w:rFonts w:ascii="Gilroy Black" w:hAnsi="Gilroy Black"/>
          <w:noProof/>
          <w:color w:val="00B0F0"/>
          <w:sz w:val="32"/>
          <w:szCs w:val="32"/>
        </w:rPr>
        <w:drawing>
          <wp:inline distT="0" distB="0" distL="0" distR="0" wp14:anchorId="0D638A31" wp14:editId="3EB93BD0">
            <wp:extent cx="344805" cy="179705"/>
            <wp:effectExtent l="0" t="0" r="0" b="0"/>
            <wp:docPr id="8" name="Immagin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6472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3725681E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311826BC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0692B9FD" w14:textId="44D59153" w:rsidR="00073DAC" w:rsidRPr="002146D0" w:rsidRDefault="00025617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</w:pPr>
      <w:proofErr w:type="spellStart"/>
      <w:r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Clapet</w:t>
      </w:r>
      <w:proofErr w:type="spellEnd"/>
      <w:r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anti-retour </w:t>
      </w:r>
      <w:proofErr w:type="spellStart"/>
      <w:r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en</w:t>
      </w:r>
      <w:proofErr w:type="spellEnd"/>
      <w:r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PVC </w:t>
      </w:r>
      <w:proofErr w:type="spellStart"/>
      <w:proofErr w:type="gramStart"/>
      <w:r w:rsidRPr="00025617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injecté</w:t>
      </w:r>
      <w:proofErr w:type="spellEnd"/>
      <w:proofErr w:type="gramEnd"/>
      <w:r w:rsidR="000E64CF"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</w:t>
      </w:r>
    </w:p>
    <w:p w14:paraId="45F5E185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p w14:paraId="04D99784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025617" w14:paraId="6632224E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67E" w14:textId="1BEBC9EE" w:rsidR="00025617" w:rsidRPr="00025617" w:rsidRDefault="00073DAC" w:rsidP="00025617">
            <w:pPr>
              <w:autoSpaceDE w:val="0"/>
              <w:autoSpaceDN w:val="0"/>
              <w:adjustRightInd w:val="0"/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  <w:r w:rsidR="00025617">
              <w:rPr>
                <w:rFonts w:ascii="Century Gothic" w:hAnsi="Century Gothic"/>
                <w:b/>
                <w:lang w:val="en-US"/>
              </w:rPr>
              <w:br/>
            </w:r>
            <w:r w:rsidR="002146D0"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I</w:t>
            </w:r>
            <w:r w:rsidR="00025617" w:rsidRPr="00025617">
              <w:rPr>
                <w:rFonts w:ascii="Gilroy Light" w:eastAsiaTheme="minorEastAsia" w:hAnsi="Gilroy Light" w:cstheme="minorBidi"/>
                <w:color w:val="66666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>Désigné</w:t>
            </w:r>
            <w:proofErr w:type="spellEnd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 xml:space="preserve"> pour </w:t>
            </w:r>
            <w:proofErr w:type="spellStart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>connexion</w:t>
            </w:r>
            <w:proofErr w:type="spellEnd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 xml:space="preserve"> aux </w:t>
            </w:r>
            <w:proofErr w:type="spellStart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>réseaux</w:t>
            </w:r>
            <w:proofErr w:type="spellEnd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 xml:space="preserve"> </w:t>
            </w:r>
            <w:proofErr w:type="spellStart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>d’évacuation</w:t>
            </w:r>
            <w:proofErr w:type="spellEnd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 xml:space="preserve"> </w:t>
            </w:r>
            <w:proofErr w:type="spellStart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>conformes</w:t>
            </w:r>
            <w:proofErr w:type="spellEnd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 xml:space="preserve"> aux </w:t>
            </w:r>
            <w:proofErr w:type="spellStart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>normes</w:t>
            </w:r>
            <w:proofErr w:type="spellEnd"/>
            <w:r w:rsidR="00025617" w:rsidRPr="00025617">
              <w:rPr>
                <w:rFonts w:ascii="Century Gothic" w:eastAsia="Times New Roman" w:hAnsi="Century Gothic"/>
                <w:color w:val="595959" w:themeColor="text1" w:themeTint="A6"/>
                <w:sz w:val="26"/>
                <w:szCs w:val="26"/>
                <w:lang w:val="en-US" w:eastAsia="it-IT"/>
              </w:rPr>
              <w:t xml:space="preserve"> EN1329 et EN1401.</w:t>
            </w:r>
          </w:p>
          <w:p w14:paraId="7E186E56" w14:textId="3B5EA19E" w:rsidR="00025617" w:rsidRPr="00025617" w:rsidRDefault="00025617" w:rsidP="00025617">
            <w:pPr>
              <w:pStyle w:val="NormaleWeb"/>
              <w:spacing w:before="204" w:after="204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Clapet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singulier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avec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poignet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d’ouverture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certifié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EN 13564 Type 1.</w:t>
            </w: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</w: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</w: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Types de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jonction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:</w:t>
            </w: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– joint à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lèvre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conformes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au standards EN681-1 et DIN4060)</w:t>
            </w: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– à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coller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.</w:t>
            </w: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</w: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  <w:t xml:space="preserve">Les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éléments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mobiles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devraient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détachables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ou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capable d’être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démontés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.</w:t>
            </w: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br/>
            </w: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br/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Couvercle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scellé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,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parfaitement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étanche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.</w:t>
            </w:r>
          </w:p>
          <w:p w14:paraId="0A4DD0E8" w14:textId="386B0523" w:rsidR="00025617" w:rsidRPr="00025617" w:rsidRDefault="00025617" w:rsidP="00025617">
            <w:pPr>
              <w:pStyle w:val="NormaleWeb"/>
              <w:spacing w:before="204" w:after="204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</w:pP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Marque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CE</w:t>
            </w:r>
          </w:p>
          <w:p w14:paraId="66540AE7" w14:textId="7CB0E847" w:rsidR="00025617" w:rsidRPr="00025617" w:rsidRDefault="00025617" w:rsidP="00025617">
            <w:pPr>
              <w:pStyle w:val="NormaleWeb"/>
              <w:spacing w:before="204" w:after="204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</w:pP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Certification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allemande LGA EN13564-1 (DN 100 à DN 200).</w:t>
            </w:r>
          </w:p>
          <w:p w14:paraId="6C1447CB" w14:textId="77777777" w:rsidR="00073DAC" w:rsidRDefault="00025617" w:rsidP="00025617">
            <w:pPr>
              <w:pStyle w:val="NormaleWeb"/>
              <w:spacing w:before="204" w:after="204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Les fournisse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urs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doivent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certifiés</w:t>
            </w:r>
            <w:proofErr w:type="spellEnd"/>
            <w:r w:rsidRPr="00025617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ISO9001.</w:t>
            </w:r>
          </w:p>
          <w:p w14:paraId="3DEDC883" w14:textId="29CBE075" w:rsidR="00025617" w:rsidRPr="00025617" w:rsidRDefault="00025617" w:rsidP="00025617">
            <w:pPr>
              <w:pStyle w:val="NormaleWeb"/>
              <w:spacing w:before="204" w:after="204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</w:p>
        </w:tc>
      </w:tr>
    </w:tbl>
    <w:p w14:paraId="2C5AFD94" w14:textId="77777777" w:rsidR="00073DAC" w:rsidRP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39BED82E" w14:textId="77777777" w:rsidR="00073DAC" w:rsidRP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69782623" w14:textId="77777777" w:rsid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415C0D38" w14:textId="77777777" w:rsidR="00073DAC" w:rsidRPr="00073DAC" w:rsidRDefault="00073DAC" w:rsidP="00C67F4E">
      <w:pPr>
        <w:spacing w:line="360" w:lineRule="auto"/>
        <w:rPr>
          <w:rFonts w:ascii="Century Gothic" w:hAnsi="Century Gothic"/>
          <w:lang w:val="en-US"/>
        </w:rPr>
      </w:pPr>
    </w:p>
    <w:sectPr w:rsidR="00073DAC" w:rsidRPr="00073DAC" w:rsidSect="00073DAC">
      <w:pgSz w:w="11900" w:h="16840"/>
      <w:pgMar w:top="454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A669" w14:textId="77777777" w:rsidR="00DD1797" w:rsidRDefault="00DD1797" w:rsidP="00B00297">
      <w:r>
        <w:separator/>
      </w:r>
    </w:p>
  </w:endnote>
  <w:endnote w:type="continuationSeparator" w:id="0">
    <w:p w14:paraId="3B36815B" w14:textId="77777777" w:rsidR="00DD1797" w:rsidRDefault="00DD1797" w:rsidP="00B0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40703060306020203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roy Black">
    <w:panose1 w:val="00000A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B27D" w14:textId="77777777" w:rsidR="00C67F4E" w:rsidRPr="00C67F4E" w:rsidRDefault="00DD1797" w:rsidP="00C67F4E">
    <w:pPr>
      <w:rPr>
        <w:rFonts w:ascii="Century Gothic" w:hAnsi="Century Gothic"/>
      </w:rPr>
    </w:pPr>
    <w:r>
      <w:rPr>
        <w:rFonts w:ascii="Century Gothic" w:hAnsi="Century Gothic"/>
        <w:b/>
        <w:noProof/>
      </w:rPr>
      <w:pict w14:anchorId="0418C2A8">
        <v:rect id="_x0000_i1025" alt="" style="width:523pt;height:.05pt;mso-width-percent:0;mso-height-percent:0;mso-width-percent:0;mso-height-percent:0" o:hralign="center" o:hrstd="t" o:hr="t" fillcolor="#a0a0a0" stroked="f"/>
      </w:pict>
    </w:r>
  </w:p>
  <w:tbl>
    <w:tblPr>
      <w:tblpPr w:leftFromText="141" w:rightFromText="141" w:vertAnchor="text" w:horzAnchor="margin" w:tblpY="109"/>
      <w:tblW w:w="0" w:type="auto"/>
      <w:tblLook w:val="04A0" w:firstRow="1" w:lastRow="0" w:firstColumn="1" w:lastColumn="0" w:noHBand="0" w:noVBand="1"/>
    </w:tblPr>
    <w:tblGrid>
      <w:gridCol w:w="6064"/>
      <w:gridCol w:w="4396"/>
    </w:tblGrid>
    <w:tr w:rsidR="003F225D" w:rsidRPr="00ED0A74" w14:paraId="273107F1" w14:textId="77777777" w:rsidTr="00ED0A74">
      <w:tc>
        <w:tcPr>
          <w:tcW w:w="6064" w:type="dxa"/>
          <w:shd w:val="clear" w:color="auto" w:fill="auto"/>
          <w:vAlign w:val="center"/>
        </w:tcPr>
        <w:p w14:paraId="34594BD7" w14:textId="77777777" w:rsidR="00C67F4E" w:rsidRPr="00ED0A74" w:rsidRDefault="00C67F4E" w:rsidP="00ED0A74">
          <w:pPr>
            <w:pStyle w:val="Paragrafobase"/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</w:pPr>
          <w:r w:rsidRPr="00ED0A74">
            <w:rPr>
              <w:rFonts w:ascii="Century Gothic" w:eastAsia="Yu Mincho" w:hAnsi="Century Gothic" w:cs="Gilroy Bold"/>
              <w:b/>
              <w:bCs/>
              <w:color w:val="7F7F7F"/>
              <w:spacing w:val="2"/>
              <w:sz w:val="16"/>
              <w:szCs w:val="16"/>
              <w:lang w:eastAsia="ja-JP"/>
            </w:rPr>
            <w:t xml:space="preserve">REDI S.p.A. </w:t>
          </w:r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Via Madonna dei Prati 5/</w:t>
          </w:r>
          <w:proofErr w:type="gram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A  -</w:t>
          </w:r>
          <w:proofErr w:type="gram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 40069 ZOLA PREDOSA (BO - </w:t>
          </w:r>
          <w:proofErr w:type="spell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Italy</w:t>
          </w:r>
          <w:proofErr w:type="spell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) </w:t>
          </w:r>
        </w:p>
        <w:p w14:paraId="60BF3632" w14:textId="6519EC54" w:rsidR="00C67F4E" w:rsidRPr="00ED0A74" w:rsidRDefault="00C67F4E" w:rsidP="00ED0A74">
          <w:pPr>
            <w:rPr>
              <w:rFonts w:ascii="Century Gothic" w:hAnsi="Century Gothic"/>
              <w:color w:val="7F7F7F"/>
              <w:sz w:val="16"/>
              <w:szCs w:val="16"/>
            </w:rPr>
          </w:pPr>
          <w:r w:rsidRPr="00ED0A74">
            <w:rPr>
              <w:rFonts w:ascii="Century Gothic" w:hAnsi="Century Gothic" w:cs="Gilroy Light"/>
              <w:color w:val="7F7F7F"/>
              <w:spacing w:val="2"/>
              <w:sz w:val="16"/>
              <w:szCs w:val="16"/>
            </w:rPr>
            <w:t xml:space="preserve">info.redi@aliaxis.com - </w:t>
          </w:r>
          <w:proofErr w:type="gramStart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>infotecnico.redi@aliaxis.com  -</w:t>
          </w:r>
          <w:proofErr w:type="gramEnd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 xml:space="preserve"> 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www.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ali</w:t>
          </w:r>
          <w:r w:rsidR="002146D0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xis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.it</w:t>
          </w:r>
        </w:p>
        <w:p w14:paraId="228EF3C2" w14:textId="77777777" w:rsidR="00C67F4E" w:rsidRPr="00ED0A74" w:rsidRDefault="00C67F4E" w:rsidP="00ED0A74">
          <w:pPr>
            <w:rPr>
              <w:rFonts w:ascii="Century Gothic" w:hAnsi="Century Gothic"/>
            </w:rPr>
          </w:pPr>
        </w:p>
      </w:tc>
      <w:tc>
        <w:tcPr>
          <w:tcW w:w="4396" w:type="dxa"/>
          <w:shd w:val="clear" w:color="auto" w:fill="auto"/>
          <w:vAlign w:val="center"/>
        </w:tcPr>
        <w:p w14:paraId="612A19EA" w14:textId="77777777" w:rsidR="00C67F4E" w:rsidRPr="00ED0A74" w:rsidRDefault="00ED0A74" w:rsidP="00ED0A74">
          <w:pPr>
            <w:jc w:val="right"/>
            <w:rPr>
              <w:rFonts w:ascii="Century Gothic" w:hAnsi="Century Gothic"/>
            </w:rPr>
          </w:pPr>
          <w:r w:rsidRPr="00ED0A74">
            <w:rPr>
              <w:rFonts w:ascii="Century Gothic" w:hAnsi="Century Gothic"/>
              <w:noProof/>
            </w:rPr>
            <w:drawing>
              <wp:inline distT="0" distB="0" distL="0" distR="0" wp14:anchorId="55A189D1" wp14:editId="31310320">
                <wp:extent cx="2420620" cy="539750"/>
                <wp:effectExtent l="0" t="0" r="0" b="0"/>
                <wp:docPr id="3" name="Immagine 1" descr="Immagine che contiene testo, Carattere, schermata, bianc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schermata, bianc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06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A6B8A" w14:textId="77777777" w:rsidR="00C67F4E" w:rsidRDefault="00C67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A9AC" w14:textId="77777777" w:rsidR="00DD1797" w:rsidRDefault="00DD1797" w:rsidP="00B00297">
      <w:r>
        <w:separator/>
      </w:r>
    </w:p>
  </w:footnote>
  <w:footnote w:type="continuationSeparator" w:id="0">
    <w:p w14:paraId="3F1F6F23" w14:textId="77777777" w:rsidR="00DD1797" w:rsidRDefault="00DD1797" w:rsidP="00B0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B526" w14:textId="77777777" w:rsidR="00DF71C8" w:rsidRPr="00C67F4E" w:rsidRDefault="00DF71C8" w:rsidP="00DF71C8">
    <w:pPr>
      <w:rPr>
        <w:rFonts w:ascii="Century Gothic" w:hAnsi="Century Gothic"/>
        <w:b/>
      </w:rPr>
    </w:pPr>
  </w:p>
  <w:p w14:paraId="610C5329" w14:textId="77777777" w:rsidR="00DF71C8" w:rsidRPr="00C67F4E" w:rsidRDefault="00ED0A74" w:rsidP="00DF71C8">
    <w:pPr>
      <w:pStyle w:val="Intestazione"/>
      <w:rPr>
        <w:rFonts w:ascii="Century Gothic" w:hAnsi="Century Gothic"/>
      </w:rPr>
    </w:pPr>
    <w:r w:rsidRPr="00ED0A74">
      <w:rPr>
        <w:rFonts w:ascii="Century Gothic" w:hAnsi="Century Gothic"/>
        <w:noProof/>
      </w:rPr>
      <w:drawing>
        <wp:inline distT="0" distB="0" distL="0" distR="0" wp14:anchorId="61C059B5" wp14:editId="2B3E66CC">
          <wp:extent cx="2877820" cy="165100"/>
          <wp:effectExtent l="0" t="0" r="0" b="0"/>
          <wp:docPr id="7" name="Immagine 7530186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5301860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71C8" w:rsidRPr="00C67F4E">
      <w:rPr>
        <w:rFonts w:ascii="Century Gothic" w:hAnsi="Century Gothic"/>
        <w:b/>
        <w:color w:val="00B0F0"/>
        <w:sz w:val="28"/>
        <w:szCs w:val="28"/>
      </w:rPr>
      <w:t xml:space="preserve">                                                      </w:t>
    </w:r>
    <w:r w:rsidRPr="00ED0A74">
      <w:rPr>
        <w:rFonts w:ascii="Century Gothic" w:hAnsi="Century Gothic"/>
        <w:noProof/>
      </w:rPr>
      <w:drawing>
        <wp:inline distT="0" distB="0" distL="0" distR="0" wp14:anchorId="13FA651F" wp14:editId="080614E8">
          <wp:extent cx="1056640" cy="764540"/>
          <wp:effectExtent l="0" t="0" r="0" b="0"/>
          <wp:docPr id="6" name="Immagine 83154640" descr="Immagine che contiene logo, Carattere, Elementi grafici, design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3154640" descr="Immagine che contiene logo, Carattere, Elementi grafici, design&#10;&#10;Descrizione generat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30" r="17387" b="17616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F3C5D" w14:textId="77777777" w:rsidR="00DF71C8" w:rsidRPr="00C67F4E" w:rsidRDefault="00DD1797" w:rsidP="00DF71C8">
    <w:pPr>
      <w:pStyle w:val="Paragrafobase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pict w14:anchorId="6C5CB60F">
        <v:rect id="_x0000_i1026" alt="" style="width:523pt;height:.05pt;mso-width-percent:0;mso-height-percent:0;mso-width-percent:0;mso-height-percent:0" o:hralign="center" o:hrstd="t" o:hr="t" fillcolor="#a0a0a0" stroked="f"/>
      </w:pict>
    </w:r>
  </w:p>
  <w:p w14:paraId="7F1B87E9" w14:textId="77777777" w:rsidR="00DF71C8" w:rsidRPr="00ED0A74" w:rsidRDefault="00DF71C8" w:rsidP="00DF71C8">
    <w:pPr>
      <w:pStyle w:val="Intestazione"/>
      <w:jc w:val="right"/>
      <w:rPr>
        <w:rFonts w:ascii="Century Gothic" w:hAnsi="Century Gothic"/>
        <w:iCs/>
        <w:color w:val="7F7F7F"/>
      </w:rPr>
    </w:pPr>
  </w:p>
  <w:p w14:paraId="5E39E476" w14:textId="77777777" w:rsidR="00DF71C8" w:rsidRDefault="00DF7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564"/>
    <w:multiLevelType w:val="hybridMultilevel"/>
    <w:tmpl w:val="7DAEEECA"/>
    <w:lvl w:ilvl="0" w:tplc="918ACB40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02B3C"/>
    <w:multiLevelType w:val="hybridMultilevel"/>
    <w:tmpl w:val="58C877D0"/>
    <w:lvl w:ilvl="0" w:tplc="306A9952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3CB6"/>
    <w:multiLevelType w:val="hybridMultilevel"/>
    <w:tmpl w:val="CE982166"/>
    <w:lvl w:ilvl="0" w:tplc="01243F5A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D1F7F"/>
    <w:multiLevelType w:val="hybridMultilevel"/>
    <w:tmpl w:val="E82C668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BA77F3F"/>
    <w:multiLevelType w:val="hybridMultilevel"/>
    <w:tmpl w:val="AE6C03B4"/>
    <w:lvl w:ilvl="0" w:tplc="ADEEFBDC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0498">
    <w:abstractNumId w:val="3"/>
  </w:num>
  <w:num w:numId="2" w16cid:durableId="1304041903">
    <w:abstractNumId w:val="0"/>
  </w:num>
  <w:num w:numId="3" w16cid:durableId="252667504">
    <w:abstractNumId w:val="1"/>
  </w:num>
  <w:num w:numId="4" w16cid:durableId="1763524423">
    <w:abstractNumId w:val="4"/>
  </w:num>
  <w:num w:numId="5" w16cid:durableId="113413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28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D0"/>
    <w:rsid w:val="00025617"/>
    <w:rsid w:val="00073DAC"/>
    <w:rsid w:val="000B3FD6"/>
    <w:rsid w:val="000E64CF"/>
    <w:rsid w:val="00163887"/>
    <w:rsid w:val="00173398"/>
    <w:rsid w:val="002146D0"/>
    <w:rsid w:val="002C33FA"/>
    <w:rsid w:val="003F225D"/>
    <w:rsid w:val="004164AE"/>
    <w:rsid w:val="00522921"/>
    <w:rsid w:val="006E7DCA"/>
    <w:rsid w:val="007F6CA9"/>
    <w:rsid w:val="008525D8"/>
    <w:rsid w:val="008E3B0F"/>
    <w:rsid w:val="00A07A6A"/>
    <w:rsid w:val="00A1050A"/>
    <w:rsid w:val="00B00297"/>
    <w:rsid w:val="00B23B07"/>
    <w:rsid w:val="00B6675D"/>
    <w:rsid w:val="00BE685C"/>
    <w:rsid w:val="00C67F4E"/>
    <w:rsid w:val="00C952D7"/>
    <w:rsid w:val="00D333D5"/>
    <w:rsid w:val="00D833B0"/>
    <w:rsid w:val="00DD1797"/>
    <w:rsid w:val="00DF71C8"/>
    <w:rsid w:val="00E31BF6"/>
    <w:rsid w:val="00ED0A74"/>
    <w:rsid w:val="00F062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http://macVmlSchemaUri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1A1FB"/>
  <w15:chartTrackingRefBased/>
  <w15:docId w15:val="{CA1E9BE4-893D-824F-9F42-D13D5BE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B0F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rFonts w:ascii="Arial" w:eastAsia="Times New Roman" w:hAnsi="Arial"/>
      <w:noProof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F6CA9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F6CA9"/>
    <w:pPr>
      <w:tabs>
        <w:tab w:val="center" w:pos="4819"/>
        <w:tab w:val="right" w:pos="9638"/>
      </w:tabs>
    </w:pPr>
    <w:rPr>
      <w:rFonts w:eastAsia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F6CA9"/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02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0297"/>
    <w:rPr>
      <w:sz w:val="24"/>
      <w:szCs w:val="24"/>
    </w:rPr>
  </w:style>
  <w:style w:type="paragraph" w:customStyle="1" w:styleId="Nessunostileparagrafo">
    <w:name w:val="[Nessuno stile paragrafo]"/>
    <w:rsid w:val="008E3B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ja-JP"/>
    </w:rPr>
  </w:style>
  <w:style w:type="character" w:customStyle="1" w:styleId="introtestogenerico">
    <w:name w:val="intro testo generico"/>
    <w:uiPriority w:val="99"/>
    <w:rsid w:val="008E3B0F"/>
    <w:rPr>
      <w:rFonts w:ascii="Helvetica" w:hAnsi="Helvetica" w:cs="Helvetica"/>
      <w:sz w:val="18"/>
      <w:szCs w:val="18"/>
    </w:rPr>
  </w:style>
  <w:style w:type="table" w:styleId="Grigliatabella">
    <w:name w:val="Table Grid"/>
    <w:basedOn w:val="Tabellanormale"/>
    <w:uiPriority w:val="59"/>
    <w:rsid w:val="008E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C67F4E"/>
    <w:pPr>
      <w:jc w:val="both"/>
    </w:pPr>
    <w:rPr>
      <w:rFonts w:ascii="Times New Roman" w:eastAsia="Times New Roman" w:hAnsi="Times New Roman"/>
      <w:i/>
      <w:szCs w:val="20"/>
      <w:u w:val="single"/>
      <w:lang w:eastAsia="en-US"/>
    </w:rPr>
  </w:style>
  <w:style w:type="character" w:customStyle="1" w:styleId="Corpodeltesto2Carattere">
    <w:name w:val="Corpo del testo 2 Carattere"/>
    <w:link w:val="Corpodeltesto2"/>
    <w:semiHidden/>
    <w:rsid w:val="00C67F4E"/>
    <w:rPr>
      <w:rFonts w:ascii="Times New Roman" w:eastAsia="Times New Roman" w:hAnsi="Times New Roman" w:cs="Times New Roman"/>
      <w:i/>
      <w:sz w:val="24"/>
      <w:u w:val="single"/>
      <w:lang w:eastAsia="en-US"/>
    </w:rPr>
  </w:style>
  <w:style w:type="paragraph" w:styleId="NormaleWeb">
    <w:name w:val="Normal (Web)"/>
    <w:basedOn w:val="Normale"/>
    <w:uiPriority w:val="99"/>
    <w:unhideWhenUsed/>
    <w:rsid w:val="002146D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uliana/Downloads/VC_antiriflusso_CLASSICA_IT-EN-FR-REV0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529B1-B892-BD40-BE99-8CAF03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VC_antiriflusso_CLASSICA_IT-EN-FR-REV01 (1).dotx</Template>
  <TotalTime>3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VANNINI</dc:creator>
  <cp:keywords/>
  <dc:description/>
  <cp:lastModifiedBy>Giuliana Vannini</cp:lastModifiedBy>
  <cp:revision>2</cp:revision>
  <dcterms:created xsi:type="dcterms:W3CDTF">2023-12-11T13:39:00Z</dcterms:created>
  <dcterms:modified xsi:type="dcterms:W3CDTF">2023-12-11T13:39:00Z</dcterms:modified>
</cp:coreProperties>
</file>